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33050CA6" w:rsidR="00116B51" w:rsidRPr="00DA12F7" w:rsidRDefault="00116B51" w:rsidP="00116B51">
      <w:pPr>
        <w:tabs>
          <w:tab w:val="right" w:pos="9630"/>
        </w:tabs>
        <w:spacing w:after="0"/>
      </w:pPr>
      <w:r w:rsidRPr="00DA12F7">
        <w:rPr>
          <w:rFonts w:ascii="Arial" w:hAnsi="Arial" w:cs="Arial"/>
          <w:b/>
          <w:sz w:val="24"/>
        </w:rPr>
        <w:t>3GPP TSG RAN WG1 #</w:t>
      </w:r>
      <w:r w:rsidR="008A16AF">
        <w:rPr>
          <w:rFonts w:ascii="Arial" w:hAnsi="Arial" w:cs="Arial"/>
          <w:b/>
          <w:sz w:val="24"/>
        </w:rPr>
        <w:t>90</w:t>
      </w:r>
      <w:r w:rsidRPr="00DA12F7">
        <w:rPr>
          <w:rFonts w:ascii="Arial" w:hAnsi="Arial" w:cs="Arial"/>
          <w:b/>
          <w:sz w:val="24"/>
        </w:rPr>
        <w:tab/>
      </w:r>
      <w:r w:rsidR="003374C6" w:rsidRPr="003374C6">
        <w:rPr>
          <w:rFonts w:ascii="Arial" w:hAnsi="Arial" w:cs="Arial"/>
          <w:b/>
          <w:sz w:val="24"/>
        </w:rPr>
        <w:t>R1-1712775</w:t>
      </w:r>
    </w:p>
    <w:p w14:paraId="50FFBAF8" w14:textId="15B87AE3" w:rsidR="00116B51" w:rsidRPr="00DA12F7" w:rsidRDefault="008A16AF" w:rsidP="00116B51">
      <w:pPr>
        <w:tabs>
          <w:tab w:val="right" w:pos="9630"/>
        </w:tabs>
        <w:spacing w:after="0"/>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sidR="001D0596">
        <w:rPr>
          <w:rFonts w:ascii="Arial" w:hAnsi="Arial" w:cs="Arial"/>
          <w:b/>
          <w:sz w:val="24"/>
          <w:szCs w:val="24"/>
        </w:rPr>
        <w:t xml:space="preserve"> – </w:t>
      </w:r>
      <w:r>
        <w:rPr>
          <w:rFonts w:ascii="Arial" w:hAnsi="Arial" w:cs="Arial"/>
          <w:b/>
          <w:sz w:val="24"/>
          <w:szCs w:val="24"/>
        </w:rPr>
        <w:t>25</w:t>
      </w:r>
      <w:r w:rsidR="001D0596" w:rsidRPr="001D0596">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1165C789" w:rsidR="00116B51" w:rsidRPr="00DA12F7" w:rsidRDefault="008A16AF" w:rsidP="00116B51">
      <w:pPr>
        <w:rPr>
          <w:rFonts w:ascii="Arial" w:hAnsi="Arial" w:cs="Arial"/>
          <w:b/>
          <w:sz w:val="24"/>
          <w:szCs w:val="24"/>
        </w:rPr>
      </w:pPr>
      <w:r>
        <w:rPr>
          <w:rFonts w:ascii="Arial" w:hAnsi="Arial" w:cs="Arial"/>
          <w:b/>
          <w:sz w:val="24"/>
          <w:szCs w:val="24"/>
        </w:rPr>
        <w:t>Prague</w:t>
      </w:r>
      <w:r w:rsidR="001D0596">
        <w:rPr>
          <w:rFonts w:ascii="Arial" w:hAnsi="Arial" w:cs="Arial"/>
          <w:b/>
          <w:sz w:val="24"/>
          <w:szCs w:val="24"/>
        </w:rPr>
        <w:t>, 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F2CE19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A16AF">
        <w:rPr>
          <w:rFonts w:ascii="Arial" w:hAnsi="Arial"/>
          <w:sz w:val="24"/>
        </w:rPr>
        <w:t>5</w:t>
      </w:r>
      <w:r w:rsidR="001720D7">
        <w:rPr>
          <w:rFonts w:ascii="Arial" w:hAnsi="Arial"/>
          <w:sz w:val="24"/>
        </w:rPr>
        <w:t>.2.1</w:t>
      </w:r>
      <w:r w:rsidR="004A7390">
        <w:rPr>
          <w:rFonts w:ascii="Arial" w:hAnsi="Arial"/>
          <w:sz w:val="24"/>
        </w:rPr>
        <w:t>.</w:t>
      </w:r>
      <w:r w:rsidR="001D0596">
        <w:rPr>
          <w:rFonts w:ascii="Arial" w:hAnsi="Arial"/>
          <w:sz w:val="24"/>
        </w:rPr>
        <w:t>2</w:t>
      </w:r>
      <w:r w:rsidR="004A7390">
        <w:rPr>
          <w:rFonts w:ascii="Arial" w:hAnsi="Arial"/>
          <w:sz w:val="24"/>
        </w:rPr>
        <w:t>.1</w:t>
      </w:r>
      <w:r w:rsidR="001D0596">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6ADACC4"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1D0596">
        <w:rPr>
          <w:rFonts w:ascii="Arial" w:hAnsi="Arial"/>
          <w:sz w:val="24"/>
        </w:rPr>
        <w:t>sTTI Configuration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02926696" w14:textId="436AB056" w:rsidR="001720D7" w:rsidRDefault="00E8530B" w:rsidP="001D0596">
      <w:pPr>
        <w:rPr>
          <w:lang w:val="en-GB"/>
        </w:rPr>
      </w:pPr>
      <w:r>
        <w:rPr>
          <w:lang w:val="en-GB"/>
        </w:rPr>
        <w:t>In RAN1 #88</w:t>
      </w:r>
      <w:r w:rsidR="004A7390">
        <w:rPr>
          <w:lang w:val="en-GB"/>
        </w:rPr>
        <w:t xml:space="preserve">, </w:t>
      </w:r>
      <w:r w:rsidR="001D0596">
        <w:rPr>
          <w:lang w:val="en-GB"/>
        </w:rPr>
        <w:t>it was agreed that:</w:t>
      </w:r>
    </w:p>
    <w:p w14:paraId="6EFBB1B9" w14:textId="29DF0AFC" w:rsidR="001D0596" w:rsidRDefault="001D0596" w:rsidP="001D0596">
      <w:pPr>
        <w:rPr>
          <w:b/>
          <w:u w:val="single"/>
          <w:lang w:val="en-GB"/>
        </w:rPr>
      </w:pPr>
      <w:r w:rsidRPr="001D0596">
        <w:rPr>
          <w:b/>
          <w:highlight w:val="green"/>
          <w:u w:val="single"/>
          <w:lang w:val="en-GB"/>
        </w:rPr>
        <w:t>Agreement:</w:t>
      </w:r>
    </w:p>
    <w:p w14:paraId="50F5E355" w14:textId="76AEA7A5" w:rsidR="00463E61" w:rsidRDefault="00690CE4" w:rsidP="001D0596">
      <w:pPr>
        <w:pStyle w:val="ListParagraph"/>
        <w:numPr>
          <w:ilvl w:val="0"/>
          <w:numId w:val="29"/>
        </w:numPr>
        <w:rPr>
          <w:rFonts w:eastAsia="MS Mincho"/>
          <w:i/>
          <w:sz w:val="20"/>
          <w:lang w:eastAsia="ja-JP"/>
        </w:rPr>
      </w:pPr>
      <w:r w:rsidRPr="001D0596">
        <w:rPr>
          <w:rFonts w:eastAsia="MS Mincho"/>
          <w:i/>
          <w:sz w:val="20"/>
          <w:lang w:eastAsia="ja-JP"/>
        </w:rPr>
        <w:t>The UE is configured by higher layers to operate one of the following sTTI combination {DL, UL} within a PUCCH group: {2, 2}, {2, 7} and {7, 7}</w:t>
      </w:r>
      <w:r w:rsidR="001D0596">
        <w:rPr>
          <w:rFonts w:eastAsia="MS Mincho"/>
          <w:i/>
          <w:sz w:val="20"/>
          <w:lang w:eastAsia="ja-JP"/>
        </w:rPr>
        <w:t>.</w:t>
      </w:r>
    </w:p>
    <w:p w14:paraId="25626DFD" w14:textId="77777777" w:rsidR="001D0596" w:rsidRDefault="001D0596" w:rsidP="001D0596">
      <w:pPr>
        <w:pStyle w:val="ListParagraph"/>
        <w:rPr>
          <w:rFonts w:eastAsia="MS Mincho"/>
          <w:i/>
          <w:sz w:val="20"/>
          <w:lang w:eastAsia="ja-JP"/>
        </w:rPr>
      </w:pPr>
    </w:p>
    <w:p w14:paraId="4A6DDF53" w14:textId="710B2F74" w:rsidR="001D0596" w:rsidRDefault="001D0596" w:rsidP="001D0596">
      <w:pPr>
        <w:rPr>
          <w:rFonts w:eastAsia="MS Mincho"/>
          <w:lang w:eastAsia="ja-JP"/>
        </w:rPr>
      </w:pPr>
      <w:r w:rsidRPr="001D0596">
        <w:rPr>
          <w:rFonts w:eastAsia="MS Mincho"/>
          <w:lang w:eastAsia="ja-JP"/>
        </w:rPr>
        <w:t>In RAN1 #88b, it was further agreed that:</w:t>
      </w:r>
    </w:p>
    <w:p w14:paraId="55286E4C" w14:textId="6B458CC2" w:rsidR="001D0596" w:rsidRPr="001D0596" w:rsidRDefault="001D0596" w:rsidP="001D0596">
      <w:pPr>
        <w:rPr>
          <w:rFonts w:eastAsia="MS Mincho"/>
          <w:b/>
          <w:u w:val="single"/>
          <w:lang w:eastAsia="ja-JP"/>
        </w:rPr>
      </w:pPr>
      <w:r w:rsidRPr="001D0596">
        <w:rPr>
          <w:rFonts w:eastAsia="MS Mincho"/>
          <w:b/>
          <w:highlight w:val="green"/>
          <w:u w:val="single"/>
          <w:lang w:eastAsia="ja-JP"/>
        </w:rPr>
        <w:t>Agreement:</w:t>
      </w:r>
    </w:p>
    <w:p w14:paraId="2CA9F19E" w14:textId="77FB3E63" w:rsidR="001D0596" w:rsidRPr="001D0596" w:rsidRDefault="001D0596" w:rsidP="001D0596">
      <w:pPr>
        <w:pStyle w:val="ListParagraph"/>
        <w:numPr>
          <w:ilvl w:val="0"/>
          <w:numId w:val="29"/>
        </w:numPr>
        <w:rPr>
          <w:rFonts w:eastAsia="MS Mincho"/>
          <w:i/>
          <w:iCs/>
          <w:sz w:val="20"/>
          <w:lang w:eastAsia="ja-JP"/>
        </w:rPr>
      </w:pPr>
      <w:r w:rsidRPr="001D0596">
        <w:rPr>
          <w:rFonts w:eastAsia="MS Mincho"/>
          <w:i/>
          <w:iCs/>
          <w:sz w:val="20"/>
          <w:lang w:eastAsia="ja-JP"/>
        </w:rPr>
        <w:t>Different DL sTTI length can be configured for the serving cells across different PUCCH groups for which sTTI operation is configured</w:t>
      </w:r>
      <w:r>
        <w:rPr>
          <w:rFonts w:eastAsia="MS Mincho"/>
          <w:i/>
          <w:iCs/>
          <w:sz w:val="20"/>
          <w:lang w:eastAsia="ja-JP"/>
        </w:rPr>
        <w:t>.</w:t>
      </w:r>
    </w:p>
    <w:p w14:paraId="0EA70BC6" w14:textId="2573AA40" w:rsidR="001D0596" w:rsidRPr="001D0596" w:rsidRDefault="001D0596" w:rsidP="001D0596">
      <w:pPr>
        <w:pStyle w:val="ListParagraph"/>
        <w:numPr>
          <w:ilvl w:val="1"/>
          <w:numId w:val="29"/>
        </w:numPr>
        <w:rPr>
          <w:rFonts w:eastAsia="MS Mincho"/>
          <w:i/>
          <w:iCs/>
          <w:sz w:val="20"/>
          <w:lang w:eastAsia="ja-JP"/>
        </w:rPr>
      </w:pPr>
      <w:r w:rsidRPr="001D0596">
        <w:rPr>
          <w:rFonts w:eastAsia="MS Mincho"/>
          <w:i/>
          <w:iCs/>
          <w:sz w:val="20"/>
          <w:lang w:eastAsia="ja-JP"/>
        </w:rPr>
        <w:t>FFS: If different UL sTTI lengths can be configured for the serving cells across different PUCCH groups for which sTTI operation is configured</w:t>
      </w:r>
      <w:r>
        <w:rPr>
          <w:rFonts w:eastAsia="MS Mincho"/>
          <w:i/>
          <w:iCs/>
          <w:sz w:val="20"/>
          <w:lang w:eastAsia="ja-JP"/>
        </w:rPr>
        <w:t>.</w:t>
      </w:r>
    </w:p>
    <w:p w14:paraId="6CB53651" w14:textId="52B16F82" w:rsidR="001D0596" w:rsidRDefault="001D0596" w:rsidP="002A599A">
      <w:pPr>
        <w:jc w:val="both"/>
        <w:rPr>
          <w:rFonts w:eastAsia="MS Mincho"/>
          <w:b/>
          <w:u w:val="single"/>
          <w:lang w:eastAsia="ja-JP"/>
        </w:rPr>
      </w:pPr>
    </w:p>
    <w:p w14:paraId="37EACD51" w14:textId="7A36A3F9" w:rsidR="008A16AF" w:rsidRDefault="008A16AF" w:rsidP="002A599A">
      <w:pPr>
        <w:jc w:val="both"/>
        <w:rPr>
          <w:rFonts w:eastAsia="MS Mincho"/>
          <w:lang w:eastAsia="ja-JP"/>
        </w:rPr>
      </w:pPr>
      <w:r w:rsidRPr="003374C6">
        <w:rPr>
          <w:rFonts w:eastAsia="MS Mincho"/>
          <w:lang w:eastAsia="ja-JP"/>
        </w:rPr>
        <w:t xml:space="preserve">In RAN1 #89, </w:t>
      </w:r>
      <w:r>
        <w:rPr>
          <w:rFonts w:eastAsia="MS Mincho"/>
          <w:lang w:eastAsia="ja-JP"/>
        </w:rPr>
        <w:t>the following agreements were reached</w:t>
      </w:r>
      <w:r w:rsidRPr="003374C6">
        <w:rPr>
          <w:rFonts w:eastAsia="MS Mincho"/>
          <w:lang w:eastAsia="ja-JP"/>
        </w:rPr>
        <w:t>:</w:t>
      </w:r>
    </w:p>
    <w:p w14:paraId="7A3ABAC9" w14:textId="77777777" w:rsidR="008A16AF" w:rsidRPr="003374C6" w:rsidRDefault="008A16AF" w:rsidP="008A16AF">
      <w:pPr>
        <w:rPr>
          <w:rFonts w:eastAsia="MS Mincho"/>
          <w:b/>
          <w:iCs/>
          <w:u w:val="single"/>
          <w:lang w:eastAsia="ja-JP"/>
        </w:rPr>
      </w:pPr>
      <w:r w:rsidRPr="003374C6">
        <w:rPr>
          <w:rFonts w:eastAsia="MS Mincho"/>
          <w:b/>
          <w:iCs/>
          <w:highlight w:val="green"/>
          <w:u w:val="single"/>
          <w:lang w:eastAsia="ja-JP"/>
        </w:rPr>
        <w:t>Agreement:</w:t>
      </w:r>
    </w:p>
    <w:p w14:paraId="3A1C9D4B" w14:textId="4FDCB104" w:rsidR="008A16AF" w:rsidRPr="003374C6" w:rsidRDefault="008A16AF" w:rsidP="008A16AF">
      <w:pPr>
        <w:numPr>
          <w:ilvl w:val="0"/>
          <w:numId w:val="32"/>
        </w:numPr>
        <w:overflowPunct/>
        <w:autoSpaceDE/>
        <w:autoSpaceDN/>
        <w:adjustRightInd/>
        <w:spacing w:after="0"/>
        <w:textAlignment w:val="auto"/>
        <w:rPr>
          <w:rFonts w:eastAsia="MS Mincho"/>
          <w:i/>
          <w:iCs/>
          <w:lang w:eastAsia="ja-JP"/>
        </w:rPr>
      </w:pPr>
      <w:r w:rsidRPr="003374C6">
        <w:rPr>
          <w:rFonts w:eastAsia="MS Mincho"/>
          <w:i/>
          <w:iCs/>
          <w:lang w:eastAsia="ja-JP"/>
        </w:rPr>
        <w:t>sTTI operation is configured per CC</w:t>
      </w:r>
      <w:r>
        <w:rPr>
          <w:rFonts w:eastAsia="MS Mincho"/>
          <w:i/>
          <w:iCs/>
          <w:lang w:eastAsia="ja-JP"/>
        </w:rPr>
        <w:t>.</w:t>
      </w:r>
    </w:p>
    <w:p w14:paraId="1D3D8EB4" w14:textId="77777777" w:rsidR="008A16AF" w:rsidRDefault="008A16AF" w:rsidP="002A599A">
      <w:pPr>
        <w:jc w:val="both"/>
        <w:rPr>
          <w:rFonts w:eastAsia="MS Mincho"/>
          <w:lang w:eastAsia="ja-JP"/>
        </w:rPr>
      </w:pPr>
    </w:p>
    <w:p w14:paraId="26C17974" w14:textId="77777777" w:rsidR="008A16AF" w:rsidRPr="003374C6" w:rsidRDefault="008A16AF" w:rsidP="008A16AF">
      <w:pPr>
        <w:rPr>
          <w:rFonts w:eastAsia="MS Mincho"/>
          <w:b/>
          <w:iCs/>
          <w:u w:val="single"/>
          <w:lang w:eastAsia="ja-JP"/>
        </w:rPr>
      </w:pPr>
      <w:r w:rsidRPr="003374C6">
        <w:rPr>
          <w:rFonts w:eastAsia="MS Mincho"/>
          <w:b/>
          <w:iCs/>
          <w:highlight w:val="darkYellow"/>
          <w:u w:val="single"/>
          <w:lang w:eastAsia="ja-JP"/>
        </w:rPr>
        <w:t>Working assumption</w:t>
      </w:r>
    </w:p>
    <w:p w14:paraId="675D0BE3" w14:textId="77777777" w:rsidR="008A16AF" w:rsidRPr="003374C6" w:rsidRDefault="008A16AF" w:rsidP="008A16AF">
      <w:pPr>
        <w:numPr>
          <w:ilvl w:val="0"/>
          <w:numId w:val="32"/>
        </w:numPr>
        <w:overflowPunct/>
        <w:autoSpaceDE/>
        <w:autoSpaceDN/>
        <w:adjustRightInd/>
        <w:spacing w:after="0"/>
        <w:textAlignment w:val="auto"/>
        <w:rPr>
          <w:rFonts w:eastAsia="MS Mincho"/>
          <w:i/>
          <w:iCs/>
          <w:lang w:eastAsia="ja-JP"/>
        </w:rPr>
      </w:pPr>
      <w:r w:rsidRPr="003374C6">
        <w:rPr>
          <w:rFonts w:eastAsia="MS Mincho"/>
          <w:i/>
          <w:iCs/>
          <w:lang w:eastAsia="ja-JP"/>
        </w:rPr>
        <w:t>UE capability signaling on the maximum number of CCs for sTTI operation is defined</w:t>
      </w:r>
    </w:p>
    <w:p w14:paraId="779DFEDE" w14:textId="77777777" w:rsidR="008A16AF" w:rsidRPr="003374C6" w:rsidRDefault="008A16AF" w:rsidP="008A16AF">
      <w:pPr>
        <w:numPr>
          <w:ilvl w:val="1"/>
          <w:numId w:val="32"/>
        </w:numPr>
        <w:overflowPunct/>
        <w:autoSpaceDE/>
        <w:autoSpaceDN/>
        <w:adjustRightInd/>
        <w:spacing w:after="0"/>
        <w:textAlignment w:val="auto"/>
        <w:rPr>
          <w:rFonts w:eastAsia="MS Mincho"/>
          <w:i/>
          <w:iCs/>
          <w:lang w:eastAsia="ja-JP"/>
        </w:rPr>
      </w:pPr>
      <w:r w:rsidRPr="003374C6">
        <w:rPr>
          <w:rFonts w:eastAsia="MS Mincho"/>
          <w:i/>
          <w:iCs/>
          <w:lang w:eastAsia="ja-JP"/>
        </w:rPr>
        <w:t>FFS on joint or separate UE capability on the maximum number of DL CCs and UL CCs</w:t>
      </w:r>
    </w:p>
    <w:p w14:paraId="03479113" w14:textId="77777777" w:rsidR="008A16AF" w:rsidRPr="003374C6" w:rsidRDefault="008A16AF" w:rsidP="008A16AF">
      <w:pPr>
        <w:numPr>
          <w:ilvl w:val="1"/>
          <w:numId w:val="32"/>
        </w:numPr>
        <w:overflowPunct/>
        <w:autoSpaceDE/>
        <w:autoSpaceDN/>
        <w:adjustRightInd/>
        <w:spacing w:after="0"/>
        <w:textAlignment w:val="auto"/>
        <w:rPr>
          <w:rFonts w:eastAsia="MS Mincho"/>
          <w:i/>
          <w:iCs/>
          <w:lang w:eastAsia="ja-JP"/>
        </w:rPr>
      </w:pPr>
      <w:r w:rsidRPr="003374C6">
        <w:rPr>
          <w:rFonts w:eastAsia="MS Mincho"/>
          <w:i/>
          <w:iCs/>
          <w:lang w:eastAsia="ja-JP"/>
        </w:rPr>
        <w:t>FFS per sTTI combination</w:t>
      </w:r>
    </w:p>
    <w:p w14:paraId="6B953448" w14:textId="77777777" w:rsidR="008A16AF" w:rsidRPr="003374C6" w:rsidRDefault="008A16AF" w:rsidP="008A16AF">
      <w:pPr>
        <w:numPr>
          <w:ilvl w:val="1"/>
          <w:numId w:val="32"/>
        </w:numPr>
        <w:overflowPunct/>
        <w:autoSpaceDE/>
        <w:autoSpaceDN/>
        <w:adjustRightInd/>
        <w:spacing w:after="0"/>
        <w:textAlignment w:val="auto"/>
        <w:rPr>
          <w:rFonts w:eastAsia="MS Mincho"/>
          <w:i/>
          <w:iCs/>
          <w:lang w:eastAsia="ja-JP"/>
        </w:rPr>
      </w:pPr>
      <w:r w:rsidRPr="003374C6">
        <w:rPr>
          <w:rFonts w:eastAsia="MS Mincho"/>
          <w:i/>
          <w:iCs/>
          <w:lang w:eastAsia="ja-JP"/>
        </w:rPr>
        <w:t>FFS: Whether sTTI specific band/band combination is required</w:t>
      </w:r>
    </w:p>
    <w:p w14:paraId="758588D3" w14:textId="4E2D8451" w:rsidR="008A16AF" w:rsidRPr="003374C6" w:rsidRDefault="008A16AF" w:rsidP="002A599A">
      <w:pPr>
        <w:jc w:val="both"/>
        <w:rPr>
          <w:rFonts w:eastAsia="MS Mincho"/>
          <w:lang w:eastAsia="ja-JP"/>
        </w:rPr>
      </w:pPr>
      <w:r w:rsidRPr="003374C6">
        <w:rPr>
          <w:rFonts w:eastAsia="MS Mincho"/>
          <w:lang w:eastAsia="ja-JP"/>
        </w:rPr>
        <w:t xml:space="preserve"> </w:t>
      </w:r>
    </w:p>
    <w:p w14:paraId="658A81DF" w14:textId="7BFFCFF9" w:rsidR="001D0596" w:rsidRDefault="00AF3494" w:rsidP="002A599A">
      <w:pPr>
        <w:jc w:val="both"/>
        <w:rPr>
          <w:rFonts w:eastAsia="MS Mincho"/>
          <w:lang w:eastAsia="ja-JP"/>
        </w:rPr>
      </w:pPr>
      <w:r>
        <w:rPr>
          <w:rFonts w:eastAsia="MS Mincho"/>
          <w:lang w:eastAsia="ja-JP"/>
        </w:rPr>
        <w:t>One important question remained to answer is that</w:t>
      </w:r>
      <w:r w:rsidR="001D0596" w:rsidRPr="001D0596">
        <w:rPr>
          <w:rFonts w:eastAsia="MS Mincho"/>
          <w:lang w:eastAsia="ja-JP"/>
        </w:rPr>
        <w:t xml:space="preserve"> whether a UE can be configured with different sTTI lengths across two different PUCCH groups. In this contribution paper, we discuss this issue.</w:t>
      </w:r>
    </w:p>
    <w:p w14:paraId="209144BA" w14:textId="1EFA8B7F" w:rsidR="001D0596" w:rsidRPr="001D0596" w:rsidRDefault="00065363" w:rsidP="002A599A">
      <w:pPr>
        <w:jc w:val="both"/>
        <w:rPr>
          <w:rFonts w:eastAsia="MS Mincho"/>
          <w:lang w:eastAsia="ja-JP"/>
        </w:rPr>
      </w:pPr>
      <w:r>
        <w:rPr>
          <w:rFonts w:eastAsia="MS Mincho"/>
          <w:lang w:eastAsia="ja-JP"/>
        </w:rPr>
        <w:t>The second part of this paper focuses on the CA operation, and discusses the number of CCs to support, as well as whether a cross-carrier scheduling should be adopted.</w:t>
      </w:r>
    </w:p>
    <w:p w14:paraId="488AD007" w14:textId="28CFA9CE" w:rsidR="00491EEE" w:rsidRDefault="00491EEE" w:rsidP="00F30894">
      <w:pPr>
        <w:pStyle w:val="Heading1"/>
        <w:jc w:val="both"/>
      </w:pPr>
      <w:r w:rsidRPr="00CC27F5">
        <w:t>2</w:t>
      </w:r>
      <w:r w:rsidRPr="00CC27F5">
        <w:tab/>
      </w:r>
      <w:r w:rsidR="003858F6">
        <w:t>Simultaneous Transmission of Different TTI Lengths</w:t>
      </w:r>
    </w:p>
    <w:p w14:paraId="10ED3A3E" w14:textId="77777777" w:rsidR="00671C50" w:rsidRDefault="00065363" w:rsidP="00065363">
      <w:pPr>
        <w:jc w:val="both"/>
        <w:rPr>
          <w:lang w:val="en-GB"/>
        </w:rPr>
      </w:pPr>
      <w:r>
        <w:rPr>
          <w:lang w:val="en-GB"/>
        </w:rPr>
        <w:t xml:space="preserve">Whether a UE can be configured with different sTTI lengths across different PUCCH groups is directly dependent on whether/under what conditions power sharing/splitting is feasible. </w:t>
      </w:r>
      <w:r w:rsidR="00B27A37">
        <w:rPr>
          <w:lang w:val="en-GB"/>
        </w:rPr>
        <w:t xml:space="preserve">In this regard, two scenarios should be looked at separately: (1) the simultaneous transmission of different TTI lengths across </w:t>
      </w:r>
      <w:r w:rsidR="00514ABF">
        <w:rPr>
          <w:lang w:val="en-GB"/>
        </w:rPr>
        <w:t xml:space="preserve">contiguous </w:t>
      </w:r>
      <w:r w:rsidR="00B27A37">
        <w:rPr>
          <w:lang w:val="en-GB"/>
        </w:rPr>
        <w:t xml:space="preserve">intra-band CCs, and (2) the simultaneous transmission of different TTI lengths across inter-band or </w:t>
      </w:r>
      <w:r w:rsidR="00514ABF">
        <w:rPr>
          <w:lang w:val="en-GB"/>
        </w:rPr>
        <w:t xml:space="preserve">non-contiguous </w:t>
      </w:r>
    </w:p>
    <w:p w14:paraId="5C91D96D" w14:textId="60C56CD6" w:rsidR="00B27A37" w:rsidRDefault="00B27A37" w:rsidP="00065363">
      <w:pPr>
        <w:jc w:val="both"/>
        <w:rPr>
          <w:lang w:val="en-GB"/>
        </w:rPr>
      </w:pPr>
      <w:r>
        <w:rPr>
          <w:lang w:val="en-GB"/>
        </w:rPr>
        <w:t>intra-band CCs. For the first case, a UE uses a single RF chains. For the second case, a UE uses multiple RF chains.</w:t>
      </w:r>
    </w:p>
    <w:p w14:paraId="1B1A0B63" w14:textId="66D5D8AE" w:rsidR="00443F8C" w:rsidRDefault="00443F8C" w:rsidP="00065363">
      <w:pPr>
        <w:jc w:val="both"/>
        <w:rPr>
          <w:lang w:val="en-GB"/>
        </w:rPr>
      </w:pPr>
      <w:r>
        <w:rPr>
          <w:lang w:val="en-GB"/>
        </w:rPr>
        <w:lastRenderedPageBreak/>
        <w:t>In the first case, since a single RF chain is used, in case different TTI lengths are scheduled over different CCs, the phase continuity over the longer CC cannot be maintained. Hence, we have that:</w:t>
      </w:r>
    </w:p>
    <w:p w14:paraId="34E68472" w14:textId="088B1B32" w:rsidR="00443F8C" w:rsidRPr="003374C6" w:rsidRDefault="00443F8C" w:rsidP="00065363">
      <w:pPr>
        <w:jc w:val="both"/>
        <w:rPr>
          <w:b/>
          <w:lang w:val="en-GB"/>
        </w:rPr>
      </w:pPr>
      <w:r w:rsidRPr="003374C6">
        <w:rPr>
          <w:b/>
          <w:lang w:val="en-GB"/>
        </w:rPr>
        <w:t xml:space="preserve">Proposal 1: </w:t>
      </w:r>
      <w:r w:rsidR="00975ECE">
        <w:rPr>
          <w:b/>
          <w:lang w:val="en-GB"/>
        </w:rPr>
        <w:t>S</w:t>
      </w:r>
      <w:r w:rsidRPr="003374C6">
        <w:rPr>
          <w:b/>
          <w:lang w:val="en-GB"/>
        </w:rPr>
        <w:t xml:space="preserve">imultaneous transmission of </w:t>
      </w:r>
      <w:r w:rsidR="00514ABF">
        <w:rPr>
          <w:b/>
          <w:lang w:val="en-GB"/>
        </w:rPr>
        <w:t xml:space="preserve">UL </w:t>
      </w:r>
      <w:r w:rsidRPr="003374C6">
        <w:rPr>
          <w:b/>
          <w:lang w:val="en-GB"/>
        </w:rPr>
        <w:t>TTI</w:t>
      </w:r>
      <w:r w:rsidR="00514ABF">
        <w:rPr>
          <w:b/>
          <w:lang w:val="en-GB"/>
        </w:rPr>
        <w:t>s</w:t>
      </w:r>
      <w:r w:rsidRPr="003374C6">
        <w:rPr>
          <w:b/>
          <w:lang w:val="en-GB"/>
        </w:rPr>
        <w:t xml:space="preserve"> </w:t>
      </w:r>
      <w:r w:rsidR="00514ABF">
        <w:rPr>
          <w:b/>
          <w:lang w:val="en-GB"/>
        </w:rPr>
        <w:t xml:space="preserve">with different </w:t>
      </w:r>
      <w:r w:rsidRPr="003374C6">
        <w:rPr>
          <w:b/>
          <w:lang w:val="en-GB"/>
        </w:rPr>
        <w:t xml:space="preserve">lengths across </w:t>
      </w:r>
      <w:r w:rsidR="00514ABF">
        <w:rPr>
          <w:b/>
          <w:lang w:val="en-GB"/>
        </w:rPr>
        <w:t xml:space="preserve">contiguous </w:t>
      </w:r>
      <w:r w:rsidR="00514ABF" w:rsidRPr="00C74AE1">
        <w:rPr>
          <w:b/>
          <w:lang w:val="en-GB"/>
        </w:rPr>
        <w:t xml:space="preserve">intra-band </w:t>
      </w:r>
      <w:r w:rsidRPr="003374C6">
        <w:rPr>
          <w:b/>
          <w:lang w:val="en-GB"/>
        </w:rPr>
        <w:t>CCs is not supported.</w:t>
      </w:r>
    </w:p>
    <w:p w14:paraId="4EE17732" w14:textId="034BF167" w:rsidR="00443F8C" w:rsidRDefault="00443F8C" w:rsidP="00065363">
      <w:pPr>
        <w:jc w:val="both"/>
        <w:rPr>
          <w:lang w:val="en-GB"/>
        </w:rPr>
      </w:pPr>
      <w:r>
        <w:rPr>
          <w:lang w:val="en-GB"/>
        </w:rPr>
        <w:t>Hence, similar to the case of the simultaneous transmission over the single CC, some dropping rules should be defined.</w:t>
      </w:r>
    </w:p>
    <w:p w14:paraId="3666BC2C" w14:textId="77777777" w:rsidR="00514ABF" w:rsidRDefault="00221F2C" w:rsidP="00065363">
      <w:pPr>
        <w:jc w:val="both"/>
        <w:rPr>
          <w:lang w:val="en-GB"/>
        </w:rPr>
      </w:pPr>
      <w:r>
        <w:rPr>
          <w:lang w:val="en-GB"/>
        </w:rPr>
        <w:t xml:space="preserve">In the second scenario, if TTIs of different lengths are scheduled over different CCs, since </w:t>
      </w:r>
      <w:r w:rsidR="00B46AE0">
        <w:rPr>
          <w:lang w:val="en-GB"/>
        </w:rPr>
        <w:t xml:space="preserve">separate RF chains are used, the phase continuity over the larger TTI length(s) can be preserved. </w:t>
      </w:r>
    </w:p>
    <w:p w14:paraId="493E270B" w14:textId="7C007233" w:rsidR="00671C50" w:rsidRDefault="00514ABF" w:rsidP="00065363">
      <w:pPr>
        <w:jc w:val="both"/>
        <w:rPr>
          <w:b/>
          <w:lang w:val="en-GB"/>
        </w:rPr>
      </w:pPr>
      <w:r w:rsidRPr="003374C6">
        <w:rPr>
          <w:b/>
          <w:lang w:val="en-GB"/>
        </w:rPr>
        <w:t xml:space="preserve">Proposal 2: </w:t>
      </w:r>
      <w:r w:rsidR="00975ECE">
        <w:rPr>
          <w:b/>
          <w:lang w:val="en-GB"/>
        </w:rPr>
        <w:t>S</w:t>
      </w:r>
      <w:r w:rsidRPr="003374C6">
        <w:rPr>
          <w:b/>
          <w:lang w:val="en-GB"/>
        </w:rPr>
        <w:t xml:space="preserve">imultaneous transmission of UL TTIs with different lengths across inter-band CCs and non-contiguous intra-band CCs is supported. </w:t>
      </w:r>
    </w:p>
    <w:p w14:paraId="0022A607" w14:textId="77777777" w:rsidR="00654D1E" w:rsidRDefault="00671C50" w:rsidP="00065363">
      <w:pPr>
        <w:jc w:val="both"/>
        <w:rPr>
          <w:lang w:val="en-GB"/>
        </w:rPr>
      </w:pPr>
      <w:r w:rsidRPr="003374C6">
        <w:rPr>
          <w:lang w:val="en-GB"/>
        </w:rPr>
        <w:t>One impor</w:t>
      </w:r>
      <w:r w:rsidRPr="00C74AE1">
        <w:rPr>
          <w:lang w:val="en-GB"/>
        </w:rPr>
        <w:t xml:space="preserve">tant aspect to consider here is </w:t>
      </w:r>
      <w:r w:rsidR="000F257D">
        <w:rPr>
          <w:lang w:val="en-GB"/>
        </w:rPr>
        <w:t xml:space="preserve">the </w:t>
      </w:r>
      <w:r w:rsidRPr="00C74AE1">
        <w:rPr>
          <w:lang w:val="en-GB"/>
        </w:rPr>
        <w:t xml:space="preserve">issue of power sharing across different TTI lengths. </w:t>
      </w:r>
      <w:r w:rsidR="000F257D">
        <w:rPr>
          <w:lang w:val="en-GB"/>
        </w:rPr>
        <w:t xml:space="preserve">This can be done in two different ways. </w:t>
      </w:r>
    </w:p>
    <w:p w14:paraId="0FB9560A" w14:textId="5343D929" w:rsidR="005D78A6" w:rsidRDefault="00654D1E" w:rsidP="00065363">
      <w:pPr>
        <w:jc w:val="both"/>
        <w:rPr>
          <w:lang w:val="en-GB"/>
        </w:rPr>
      </w:pPr>
      <w:r w:rsidRPr="003374C6">
        <w:rPr>
          <w:b/>
          <w:lang w:val="en-GB"/>
        </w:rPr>
        <w:t>Approach 1:</w:t>
      </w:r>
      <w:r>
        <w:rPr>
          <w:lang w:val="en-GB"/>
        </w:rPr>
        <w:t xml:space="preserve"> </w:t>
      </w:r>
      <w:r w:rsidR="000F198D">
        <w:rPr>
          <w:lang w:val="en-GB"/>
        </w:rPr>
        <w:t>One promising way for UL power sharing across different TTI lengths under the second scenario is as follows: the eN</w:t>
      </w:r>
      <w:r w:rsidR="00C74AE1">
        <w:rPr>
          <w:lang w:val="en-GB"/>
        </w:rPr>
        <w:t xml:space="preserve">B scheduler can semi-statically, e.g., via a RRC signalling, </w:t>
      </w:r>
      <w:r w:rsidR="000F198D">
        <w:rPr>
          <w:lang w:val="en-GB"/>
        </w:rPr>
        <w:t>allocate a fraction of the total power to each of the supported TTI lengths. As an example</w:t>
      </w:r>
      <w:bookmarkStart w:id="2" w:name="_GoBack"/>
      <w:bookmarkEnd w:id="2"/>
      <w:r w:rsidR="000F198D">
        <w:rPr>
          <w:lang w:val="en-GB"/>
        </w:rPr>
        <w:t xml:space="preserve">, </w:t>
      </w:r>
      <w:r w:rsidR="00C74AE1">
        <w:rPr>
          <w:lang w:val="en-GB"/>
        </w:rPr>
        <w:t xml:space="preserve">for a user that supports both 2-symbol and 1-slot sTTIs, the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1</m:t>
            </m:r>
          </m:sub>
        </m:sSub>
      </m:oMath>
      <w:r w:rsidR="00C74AE1">
        <w:rPr>
          <w:lang w:val="en-GB"/>
        </w:rPr>
        <w:t>portion of the total power can be allocated to the 1ms TTI, the</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2</m:t>
            </m:r>
          </m:sub>
        </m:sSub>
      </m:oMath>
      <w:r w:rsidR="00C74AE1">
        <w:rPr>
          <w:lang w:val="en-GB"/>
        </w:rPr>
        <w:t xml:space="preserve"> portion of the total power can be allocated to the 1-slot sTTI, and the</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3</m:t>
            </m:r>
          </m:sub>
        </m:sSub>
      </m:oMath>
      <w:r w:rsidR="00C74AE1">
        <w:rPr>
          <w:lang w:val="en-GB"/>
        </w:rPr>
        <w:t xml:space="preserve"> portion of the total power can be allocated to the 2-symbol sTTI, where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1</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3</m:t>
            </m:r>
          </m:sub>
        </m:sSub>
        <m:r>
          <w:rPr>
            <w:rFonts w:ascii="Cambria Math" w:hAnsi="Cambria Math"/>
            <w:lang w:val="en-GB"/>
          </w:rPr>
          <m:t>=1</m:t>
        </m:r>
      </m:oMath>
      <w:r w:rsidR="000F257D">
        <w:rPr>
          <w:lang w:val="en-GB"/>
        </w:rPr>
        <w:t xml:space="preserve">, and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oMath>
      <w:r w:rsidR="000F257D">
        <w:rPr>
          <w:lang w:val="en-GB"/>
        </w:rPr>
        <w:t xml:space="preserve"> is the amount of power reserved for the operation of the </w:t>
      </w:r>
      <m:oMath>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th</m:t>
            </m:r>
          </m:sup>
        </m:sSup>
      </m:oMath>
      <w:r w:rsidR="000F257D">
        <w:rPr>
          <w:lang w:val="en-GB"/>
        </w:rPr>
        <w:t xml:space="preserve"> TTI length over all activated CCs. </w:t>
      </w:r>
    </w:p>
    <w:p w14:paraId="1403FEE4" w14:textId="5AD641B2" w:rsidR="000F257D" w:rsidRDefault="005D78A6" w:rsidP="00065363">
      <w:pPr>
        <w:jc w:val="both"/>
        <w:rPr>
          <w:lang w:val="en-GB"/>
        </w:rPr>
      </w:pPr>
      <w:r>
        <w:rPr>
          <w:lang w:val="en-GB"/>
        </w:rPr>
        <w:t>If the power reserved for the longer (s)TTIs is not used (in case 1ms TTI and/or 1-slot sTTI are not scheduled), then the all power is assigned to the shortest sTTI (e.g., the 2-symbol sTTI.) Further, i</w:t>
      </w:r>
      <w:r w:rsidR="000F257D">
        <w:rPr>
          <w:lang w:val="en-GB"/>
        </w:rPr>
        <w:t xml:space="preserve">f in any transmission stance, the required transmit power for the </w:t>
      </w:r>
      <m:oMath>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th</m:t>
            </m:r>
          </m:sup>
        </m:sSup>
      </m:oMath>
      <w:r w:rsidR="000F257D">
        <w:rPr>
          <w:lang w:val="en-GB"/>
        </w:rPr>
        <w:t xml:space="preserve"> TTI length is above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oMath>
      <w:r w:rsidR="000F257D">
        <w:rPr>
          <w:lang w:val="en-GB"/>
        </w:rPr>
        <w:t xml:space="preserve">, the UE has to scale down its transmit power allocated to the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m:t>
            </m:r>
          </m:sub>
        </m:sSub>
      </m:oMath>
      <w:r w:rsidR="000F257D">
        <w:rPr>
          <w:lang w:val="en-GB"/>
        </w:rPr>
        <w:t xml:space="preserve"> TTI over all CCs. This can be done by defining some priority rules similar to the ones adopted for legacy LTE when the UE, in CA mode, is power-limited. As an example, the priority rule can be defined as (s)PUCCH &gt; (s)PUSCH with UCI &gt; (s)PUSCH.</w:t>
      </w:r>
    </w:p>
    <w:p w14:paraId="52317E4A" w14:textId="6044C403" w:rsidR="000F257D" w:rsidRDefault="00654D1E" w:rsidP="00065363">
      <w:pPr>
        <w:jc w:val="both"/>
        <w:rPr>
          <w:lang w:val="en-GB"/>
        </w:rPr>
      </w:pPr>
      <w:r w:rsidRPr="003374C6">
        <w:rPr>
          <w:b/>
          <w:lang w:val="en-GB"/>
        </w:rPr>
        <w:t>Approach 2:</w:t>
      </w:r>
      <w:r>
        <w:rPr>
          <w:lang w:val="en-GB"/>
        </w:rPr>
        <w:t xml:space="preserve"> </w:t>
      </w:r>
      <w:r w:rsidR="000F257D">
        <w:rPr>
          <w:lang w:val="en-GB"/>
        </w:rPr>
        <w:t>In the second approach, the power assignment decisions are made m</w:t>
      </w:r>
      <w:r w:rsidR="00B000D8">
        <w:rPr>
          <w:lang w:val="en-GB"/>
        </w:rPr>
        <w:t xml:space="preserve">ore dynamically through the UL grant. As an example, for a UE that supports both the 1-slot and 2-symbol sTTIs, the UL power for the 1ms TTI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B000D8">
        <w:rPr>
          <w:lang w:val="en-GB"/>
        </w:rPr>
        <w:t xml:space="preserve"> is indicated first since the 1ms UL grant is sent earlier. The amount of power remained for the 2-symbol and 1-slot operations is then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B000D8">
        <w:rPr>
          <w:lang w:val="en-GB"/>
        </w:rPr>
        <w:t xml:space="preserve">. Next, the UL power for the 1-slot sTTI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sidR="00B000D8">
        <w:rPr>
          <w:lang w:val="en-GB"/>
        </w:rPr>
        <w:t>is indicated, and finally, the 2-symbol sTTI is assigned the residual power</w:t>
      </w:r>
      <w:r w:rsidR="00955701">
        <w:rPr>
          <w:lang w:val="en-GB"/>
        </w:rPr>
        <w:t xml:space="preserv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sidR="00B000D8">
        <w:rPr>
          <w:lang w:val="en-GB"/>
        </w:rPr>
        <w:t xml:space="preserve">. By properly determining the values of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B000D8">
        <w:rPr>
          <w:lang w:val="en-GB"/>
        </w:rPr>
        <w:t xml:space="preserv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sidR="00B000D8">
        <w:rPr>
          <w:lang w:val="en-GB"/>
        </w:rPr>
        <w:t xml:space="preserve"> and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3</m:t>
            </m:r>
          </m:sub>
        </m:sSub>
      </m:oMath>
      <w:r w:rsidR="00B000D8">
        <w:rPr>
          <w:lang w:val="en-GB"/>
        </w:rPr>
        <w:t xml:space="preserve">, the eNB can prioritize </w:t>
      </w:r>
      <w:r w:rsidR="00955701">
        <w:rPr>
          <w:lang w:val="en-GB"/>
        </w:rPr>
        <w:t>the transmission of a certain TTI length.</w:t>
      </w:r>
    </w:p>
    <w:p w14:paraId="3D9E2EED" w14:textId="6F1CA689" w:rsidR="00C97A6E" w:rsidRPr="003374C6" w:rsidRDefault="000F257D" w:rsidP="00065363">
      <w:pPr>
        <w:jc w:val="both"/>
        <w:rPr>
          <w:rFonts w:ascii="Arial" w:hAnsi="Arial"/>
          <w:b/>
          <w:sz w:val="36"/>
          <w:lang w:val="en-GB"/>
        </w:rPr>
      </w:pPr>
      <w:r w:rsidRPr="003374C6">
        <w:rPr>
          <w:b/>
          <w:lang w:val="en-GB"/>
        </w:rPr>
        <w:t xml:space="preserve">Proposal 3: When UL TTIs with different lengths are scheduled over inter-band or non-contiguous intra-band CCs, </w:t>
      </w:r>
      <w:r w:rsidR="00955701">
        <w:rPr>
          <w:b/>
          <w:lang w:val="en-GB"/>
        </w:rPr>
        <w:t>adopt either Approach 1 or Approach 2 for UL power assignment.</w:t>
      </w:r>
    </w:p>
    <w:p w14:paraId="314183D4" w14:textId="6A000312" w:rsidR="001D0596" w:rsidRDefault="001D0596" w:rsidP="001D0596">
      <w:pPr>
        <w:pStyle w:val="Heading1"/>
        <w:jc w:val="both"/>
      </w:pPr>
      <w:r>
        <w:t>3</w:t>
      </w:r>
      <w:r w:rsidRPr="00CC27F5">
        <w:tab/>
      </w:r>
      <w:r w:rsidR="00065363">
        <w:t>CA Operation for an sTTI Capable UE</w:t>
      </w:r>
      <w:r>
        <w:t xml:space="preserve"> </w:t>
      </w:r>
    </w:p>
    <w:p w14:paraId="4F0E8378" w14:textId="1663D0E2" w:rsidR="000A593D" w:rsidRDefault="00955701" w:rsidP="000A593D">
      <w:pPr>
        <w:jc w:val="both"/>
        <w:rPr>
          <w:lang w:val="en-GB"/>
        </w:rPr>
      </w:pPr>
      <w:r>
        <w:rPr>
          <w:lang w:val="en-GB"/>
        </w:rPr>
        <w:t>The maximum number of CCs supported under the CA mode should be decided for an sTTI operation</w:t>
      </w:r>
      <w:r w:rsidR="00065363">
        <w:rPr>
          <w:lang w:val="en-GB"/>
        </w:rPr>
        <w:t xml:space="preserve">. </w:t>
      </w:r>
      <w:r w:rsidR="000B39D1">
        <w:rPr>
          <w:lang w:val="en-GB"/>
        </w:rPr>
        <w:t>In deciding the maximum number of supportable CCs, it should be noted that to deliver the same packet size, as the TTI length reduces, a larger bandwidth is required. Hence, from this perspective, the should not be any limit on the maximum number of supportable CCs for the sTTI operation as compared to the LTE CA mode.</w:t>
      </w:r>
    </w:p>
    <w:p w14:paraId="7EBC9BF3" w14:textId="0A4E74A3" w:rsidR="001D0596" w:rsidRDefault="000A593D" w:rsidP="000A593D">
      <w:pPr>
        <w:jc w:val="both"/>
        <w:rPr>
          <w:b/>
          <w:lang w:val="en-GB"/>
        </w:rPr>
      </w:pPr>
      <w:r w:rsidRPr="0041263E">
        <w:rPr>
          <w:b/>
          <w:lang w:val="en-GB"/>
        </w:rPr>
        <w:t xml:space="preserve">Proposal </w:t>
      </w:r>
      <w:r w:rsidR="000B39D1">
        <w:rPr>
          <w:b/>
          <w:lang w:val="en-GB"/>
        </w:rPr>
        <w:t>4</w:t>
      </w:r>
      <w:r w:rsidRPr="0041263E">
        <w:rPr>
          <w:b/>
          <w:lang w:val="en-GB"/>
        </w:rPr>
        <w:t xml:space="preserve">: </w:t>
      </w:r>
      <w:r w:rsidR="000B39D1">
        <w:rPr>
          <w:b/>
          <w:lang w:val="en-GB"/>
        </w:rPr>
        <w:t>Similar to the legacy</w:t>
      </w:r>
      <w:r w:rsidR="006E5562">
        <w:rPr>
          <w:b/>
          <w:lang w:val="en-GB"/>
        </w:rPr>
        <w:t xml:space="preserve"> LTE, for the sTTI operation, the maximum number of CCs in the DL/UL is 32</w:t>
      </w:r>
      <w:r w:rsidR="002A599A">
        <w:rPr>
          <w:b/>
          <w:lang w:val="en-GB"/>
        </w:rPr>
        <w:t>.</w:t>
      </w:r>
    </w:p>
    <w:p w14:paraId="1BCE451C" w14:textId="16E0BCFB" w:rsidR="006E5562" w:rsidRDefault="006E5562" w:rsidP="000A593D">
      <w:pPr>
        <w:jc w:val="both"/>
        <w:rPr>
          <w:lang w:val="en-GB"/>
        </w:rPr>
      </w:pPr>
      <w:r w:rsidRPr="003374C6">
        <w:rPr>
          <w:lang w:val="en-GB"/>
        </w:rPr>
        <w:t xml:space="preserve">Further, to declare the supportable number of CCs in the DL and UL, a joint UE capability can be defined. </w:t>
      </w:r>
    </w:p>
    <w:p w14:paraId="46BE99BD" w14:textId="2245966A" w:rsidR="006E5562" w:rsidRDefault="006E5562" w:rsidP="000A593D">
      <w:pPr>
        <w:jc w:val="both"/>
        <w:rPr>
          <w:b/>
          <w:lang w:val="en-GB"/>
        </w:rPr>
      </w:pPr>
      <w:r w:rsidRPr="003374C6">
        <w:rPr>
          <w:b/>
          <w:lang w:val="en-GB"/>
        </w:rPr>
        <w:t>Proposal 5: A joint UE capability is defined to declare the number of supportable CCs in the DL and UL</w:t>
      </w:r>
      <w:r>
        <w:rPr>
          <w:b/>
          <w:lang w:val="en-GB"/>
        </w:rPr>
        <w:t xml:space="preserve"> of an sTTI operation.</w:t>
      </w:r>
    </w:p>
    <w:p w14:paraId="62A82A76" w14:textId="5F8DBC13" w:rsidR="004A1156" w:rsidRDefault="004A1156" w:rsidP="000A593D">
      <w:pPr>
        <w:jc w:val="both"/>
        <w:rPr>
          <w:lang w:val="en-GB"/>
        </w:rPr>
      </w:pPr>
      <w:r w:rsidRPr="003374C6">
        <w:rPr>
          <w:lang w:val="en-GB"/>
        </w:rPr>
        <w:t xml:space="preserve">Further, the number of CCs </w:t>
      </w:r>
      <w:r w:rsidR="007E3354" w:rsidRPr="003374C6">
        <w:rPr>
          <w:lang w:val="en-GB"/>
        </w:rPr>
        <w:t>to support in each direction could be different for different sTTI combinations. This could be due to the use of diffe</w:t>
      </w:r>
      <w:r w:rsidR="007E3354">
        <w:rPr>
          <w:lang w:val="en-GB"/>
        </w:rPr>
        <w:t>rent sTTI combinations in different bands, e.g., the {2,2} combination may be used for FDD bands, while the {7,7} combination is used for the TDD bands. Based on this, the number of supportable CCs is further dependent on the bands/band combinations.</w:t>
      </w:r>
    </w:p>
    <w:p w14:paraId="7DA1D2AD" w14:textId="219B7FAE" w:rsidR="007E3354" w:rsidRPr="003374C6" w:rsidRDefault="007E3354" w:rsidP="003374C6">
      <w:pPr>
        <w:overflowPunct/>
        <w:autoSpaceDE/>
        <w:autoSpaceDN/>
        <w:adjustRightInd/>
        <w:spacing w:after="0"/>
        <w:textAlignment w:val="auto"/>
        <w:rPr>
          <w:rFonts w:eastAsia="MS Mincho"/>
          <w:b/>
          <w:iCs/>
          <w:lang w:eastAsia="ja-JP"/>
        </w:rPr>
      </w:pPr>
      <w:r w:rsidRPr="003374C6">
        <w:rPr>
          <w:b/>
          <w:lang w:val="en-GB"/>
        </w:rPr>
        <w:t xml:space="preserve">Proposal 6: </w:t>
      </w:r>
      <w:r w:rsidRPr="003374C6">
        <w:rPr>
          <w:rFonts w:eastAsia="MS Mincho"/>
          <w:b/>
          <w:iCs/>
          <w:lang w:eastAsia="ja-JP"/>
        </w:rPr>
        <w:t>UE capability signaling on the maximum number of CCs for sTTI operation is defined</w:t>
      </w:r>
      <w:r>
        <w:rPr>
          <w:rFonts w:eastAsia="MS Mincho"/>
          <w:b/>
          <w:iCs/>
          <w:lang w:eastAsia="ja-JP"/>
        </w:rPr>
        <w:t xml:space="preserve"> separately for each sTTI combination and each band/band combination. </w:t>
      </w:r>
    </w:p>
    <w:p w14:paraId="5B750748" w14:textId="2A3928AD" w:rsidR="007E3354" w:rsidRPr="003374C6" w:rsidRDefault="007E3354" w:rsidP="000A593D">
      <w:pPr>
        <w:jc w:val="both"/>
        <w:rPr>
          <w:lang w:val="en-GB"/>
        </w:rPr>
      </w:pPr>
    </w:p>
    <w:p w14:paraId="2E0D5BA9" w14:textId="4DDCCF43" w:rsidR="0041263E" w:rsidRDefault="0041263E" w:rsidP="0041263E">
      <w:pPr>
        <w:jc w:val="both"/>
      </w:pPr>
      <w:r w:rsidRPr="0041263E">
        <w:rPr>
          <w:lang w:val="en-GB"/>
        </w:rPr>
        <w:lastRenderedPageBreak/>
        <w:t>Another aspect to consider under the CA operation is whether cross-carrier scheduling is supported or not</w:t>
      </w:r>
      <w:r>
        <w:rPr>
          <w:lang w:val="en-GB"/>
        </w:rPr>
        <w:t xml:space="preserve">. </w:t>
      </w:r>
      <w:r w:rsidR="00690CE4" w:rsidRPr="0041263E">
        <w:t>Cross-carrier scheduling is introduced under the carrier aggregation operation, specifically for heterogeneous networks, where inter-cell interference can be significant. In CA, cross-carrier scheduling enables the UE to receive the PDCCH targeted for one CC on another CC. That way, the inter-cell interference impact can be managed.</w:t>
      </w:r>
      <w:r>
        <w:t xml:space="preserve"> This makes sense since PDCCH is wide-band, and may be prone to significant interference. However, in sTTI operation, at least the sPDCCH is expected to be narrow-band, it is not clear if cross-carrier scheduling brings any benefit. Also, if cross-carrier scheduling is adopted, a 3-bit carrier indicator should be included in the grant, which increases the control overhead. </w:t>
      </w:r>
      <w:r w:rsidR="004135B1">
        <w:t>Note that similar discussions occurred when cross-carrier scheduling for EPDCCH was introduced. As a result, we propose:</w:t>
      </w:r>
    </w:p>
    <w:p w14:paraId="47C18426" w14:textId="125A7392" w:rsidR="0041263E" w:rsidRPr="0041263E" w:rsidRDefault="0041263E" w:rsidP="000A593D">
      <w:pPr>
        <w:jc w:val="both"/>
        <w:rPr>
          <w:b/>
        </w:rPr>
      </w:pPr>
      <w:r w:rsidRPr="0041263E">
        <w:rPr>
          <w:b/>
        </w:rPr>
        <w:t xml:space="preserve">Proposal </w:t>
      </w:r>
      <w:r w:rsidR="007E3354">
        <w:rPr>
          <w:b/>
        </w:rPr>
        <w:t>7</w:t>
      </w:r>
      <w:r w:rsidRPr="0041263E">
        <w:rPr>
          <w:b/>
        </w:rPr>
        <w:t>:</w:t>
      </w:r>
      <w:r w:rsidR="004135B1">
        <w:rPr>
          <w:b/>
        </w:rPr>
        <w:t xml:space="preserve"> Further discuss whether or not to support cross-carrier scheduling for sPDCCH</w:t>
      </w:r>
      <w:r w:rsidRPr="0041263E">
        <w:rPr>
          <w:b/>
        </w:rPr>
        <w:t xml:space="preserve">. </w:t>
      </w:r>
    </w:p>
    <w:p w14:paraId="2F77E7C7" w14:textId="4B21DCF2" w:rsidR="00491EEE" w:rsidRDefault="001D0596" w:rsidP="00843B71">
      <w:pPr>
        <w:pStyle w:val="Heading1"/>
        <w:jc w:val="both"/>
      </w:pPr>
      <w:r>
        <w:t>4</w:t>
      </w:r>
      <w:r w:rsidR="00491EEE" w:rsidRPr="00E05A22">
        <w:tab/>
        <w:t xml:space="preserve">Conclusions </w:t>
      </w:r>
    </w:p>
    <w:p w14:paraId="14A73E45" w14:textId="14797E28" w:rsidR="00514ABF" w:rsidRPr="0033563D" w:rsidRDefault="00514ABF" w:rsidP="00514ABF">
      <w:pPr>
        <w:jc w:val="both"/>
        <w:rPr>
          <w:b/>
          <w:lang w:val="en-GB"/>
        </w:rPr>
      </w:pPr>
      <w:r w:rsidRPr="0033563D">
        <w:rPr>
          <w:b/>
          <w:lang w:val="en-GB"/>
        </w:rPr>
        <w:t xml:space="preserve">Proposal 1: </w:t>
      </w:r>
      <w:r w:rsidR="00975ECE">
        <w:rPr>
          <w:b/>
          <w:lang w:val="en-GB"/>
        </w:rPr>
        <w:t>S</w:t>
      </w:r>
      <w:r w:rsidRPr="0033563D">
        <w:rPr>
          <w:b/>
          <w:lang w:val="en-GB"/>
        </w:rPr>
        <w:t xml:space="preserve">imultaneous transmission of </w:t>
      </w:r>
      <w:r>
        <w:rPr>
          <w:b/>
          <w:lang w:val="en-GB"/>
        </w:rPr>
        <w:t xml:space="preserve">UL </w:t>
      </w:r>
      <w:r w:rsidRPr="0033563D">
        <w:rPr>
          <w:b/>
          <w:lang w:val="en-GB"/>
        </w:rPr>
        <w:t>TTI</w:t>
      </w:r>
      <w:r>
        <w:rPr>
          <w:b/>
          <w:lang w:val="en-GB"/>
        </w:rPr>
        <w:t>s</w:t>
      </w:r>
      <w:r w:rsidRPr="0033563D">
        <w:rPr>
          <w:b/>
          <w:lang w:val="en-GB"/>
        </w:rPr>
        <w:t xml:space="preserve"> </w:t>
      </w:r>
      <w:r>
        <w:rPr>
          <w:b/>
          <w:lang w:val="en-GB"/>
        </w:rPr>
        <w:t xml:space="preserve">with different </w:t>
      </w:r>
      <w:r w:rsidRPr="0033563D">
        <w:rPr>
          <w:b/>
          <w:lang w:val="en-GB"/>
        </w:rPr>
        <w:t>lengths across intra-band contiguous CCs is not supported.</w:t>
      </w:r>
    </w:p>
    <w:p w14:paraId="33983013" w14:textId="2A4E418B" w:rsidR="000F257D" w:rsidRDefault="000F257D" w:rsidP="000F257D">
      <w:pPr>
        <w:jc w:val="both"/>
        <w:rPr>
          <w:b/>
          <w:lang w:val="en-GB"/>
        </w:rPr>
      </w:pPr>
      <w:r w:rsidRPr="0033563D">
        <w:rPr>
          <w:b/>
          <w:lang w:val="en-GB"/>
        </w:rPr>
        <w:t xml:space="preserve">Proposal 2: </w:t>
      </w:r>
      <w:r w:rsidR="00975ECE">
        <w:rPr>
          <w:b/>
          <w:lang w:val="en-GB"/>
        </w:rPr>
        <w:t>S</w:t>
      </w:r>
      <w:r w:rsidRPr="0033563D">
        <w:rPr>
          <w:b/>
          <w:lang w:val="en-GB"/>
        </w:rPr>
        <w:t xml:space="preserve">imultaneous transmission of UL TTIs with different lengths across inter-band CCs and non-contiguous intra-band CCs is supported. </w:t>
      </w:r>
    </w:p>
    <w:p w14:paraId="6D6DFEB0" w14:textId="77777777" w:rsidR="00955701" w:rsidRPr="0033563D" w:rsidRDefault="00955701" w:rsidP="00955701">
      <w:pPr>
        <w:jc w:val="both"/>
        <w:rPr>
          <w:rFonts w:ascii="Arial" w:hAnsi="Arial"/>
          <w:b/>
          <w:sz w:val="36"/>
          <w:lang w:val="en-GB"/>
        </w:rPr>
      </w:pPr>
      <w:r w:rsidRPr="0033563D">
        <w:rPr>
          <w:b/>
          <w:lang w:val="en-GB"/>
        </w:rPr>
        <w:t xml:space="preserve">Proposal 3: When UL TTIs with different lengths are scheduled over inter-band or non-contiguous intra-band CCs, </w:t>
      </w:r>
      <w:r>
        <w:rPr>
          <w:b/>
          <w:lang w:val="en-GB"/>
        </w:rPr>
        <w:t>adopt either Approach 1 or Approach 2 for UL power assignment.</w:t>
      </w:r>
    </w:p>
    <w:p w14:paraId="749FDD9A" w14:textId="77777777" w:rsidR="006E5562" w:rsidRDefault="006E5562" w:rsidP="006E5562">
      <w:pPr>
        <w:jc w:val="both"/>
        <w:rPr>
          <w:b/>
          <w:lang w:val="en-GB"/>
        </w:rPr>
      </w:pPr>
      <w:r w:rsidRPr="0041263E">
        <w:rPr>
          <w:b/>
          <w:lang w:val="en-GB"/>
        </w:rPr>
        <w:t xml:space="preserve">Proposal </w:t>
      </w:r>
      <w:r>
        <w:rPr>
          <w:b/>
          <w:lang w:val="en-GB"/>
        </w:rPr>
        <w:t>4</w:t>
      </w:r>
      <w:r w:rsidRPr="0041263E">
        <w:rPr>
          <w:b/>
          <w:lang w:val="en-GB"/>
        </w:rPr>
        <w:t xml:space="preserve">: </w:t>
      </w:r>
      <w:r>
        <w:rPr>
          <w:b/>
          <w:lang w:val="en-GB"/>
        </w:rPr>
        <w:t>Similar to the legacy LTE, for the sTTI operation, the maximum number of CCs in the DL/UL is 32.</w:t>
      </w:r>
    </w:p>
    <w:p w14:paraId="3F10DF44" w14:textId="148C0DE4" w:rsidR="006E5562" w:rsidRDefault="006E5562" w:rsidP="006E5562">
      <w:pPr>
        <w:jc w:val="both"/>
        <w:rPr>
          <w:b/>
          <w:lang w:val="en-GB"/>
        </w:rPr>
      </w:pPr>
      <w:r w:rsidRPr="0033563D">
        <w:rPr>
          <w:b/>
          <w:lang w:val="en-GB"/>
        </w:rPr>
        <w:t>Proposal 5: A joint UE capability is defined to declare the number of supportable CCs in the DL and UL</w:t>
      </w:r>
      <w:r>
        <w:rPr>
          <w:b/>
          <w:lang w:val="en-GB"/>
        </w:rPr>
        <w:t xml:space="preserve"> of an sTTI operation.</w:t>
      </w:r>
    </w:p>
    <w:p w14:paraId="5BFDACF5" w14:textId="2B84EE28" w:rsidR="007E3354" w:rsidRDefault="007E3354" w:rsidP="003374C6">
      <w:pPr>
        <w:overflowPunct/>
        <w:autoSpaceDE/>
        <w:autoSpaceDN/>
        <w:adjustRightInd/>
        <w:spacing w:after="0"/>
        <w:textAlignment w:val="auto"/>
        <w:rPr>
          <w:rFonts w:eastAsia="MS Mincho"/>
          <w:b/>
          <w:iCs/>
          <w:lang w:eastAsia="ja-JP"/>
        </w:rPr>
      </w:pPr>
      <w:r w:rsidRPr="0033563D">
        <w:rPr>
          <w:b/>
          <w:lang w:val="en-GB"/>
        </w:rPr>
        <w:t xml:space="preserve">Proposal 6: </w:t>
      </w:r>
      <w:r w:rsidRPr="0033563D">
        <w:rPr>
          <w:rFonts w:eastAsia="MS Mincho"/>
          <w:b/>
          <w:iCs/>
          <w:lang w:eastAsia="ja-JP"/>
        </w:rPr>
        <w:t>UE capability signaling on the maximum number of CCs for sTTI operation is defined</w:t>
      </w:r>
      <w:r>
        <w:rPr>
          <w:rFonts w:eastAsia="MS Mincho"/>
          <w:b/>
          <w:iCs/>
          <w:lang w:eastAsia="ja-JP"/>
        </w:rPr>
        <w:t xml:space="preserve"> separately for each sTTI combination and each band/band combination. </w:t>
      </w:r>
    </w:p>
    <w:p w14:paraId="25B141B6" w14:textId="77777777" w:rsidR="007E3354" w:rsidRPr="003374C6" w:rsidRDefault="007E3354" w:rsidP="003374C6">
      <w:pPr>
        <w:overflowPunct/>
        <w:autoSpaceDE/>
        <w:autoSpaceDN/>
        <w:adjustRightInd/>
        <w:spacing w:after="0"/>
        <w:textAlignment w:val="auto"/>
        <w:rPr>
          <w:rFonts w:eastAsia="MS Mincho"/>
          <w:b/>
          <w:iCs/>
          <w:lang w:eastAsia="ja-JP"/>
        </w:rPr>
      </w:pPr>
    </w:p>
    <w:p w14:paraId="71DCC895" w14:textId="39091FBC" w:rsidR="006E5562" w:rsidRPr="0041263E" w:rsidRDefault="006E5562" w:rsidP="006E5562">
      <w:pPr>
        <w:jc w:val="both"/>
        <w:rPr>
          <w:b/>
        </w:rPr>
      </w:pPr>
      <w:r w:rsidRPr="0041263E">
        <w:rPr>
          <w:b/>
        </w:rPr>
        <w:t xml:space="preserve">Proposal </w:t>
      </w:r>
      <w:r w:rsidR="007E3354">
        <w:rPr>
          <w:b/>
        </w:rPr>
        <w:t>7</w:t>
      </w:r>
      <w:r w:rsidRPr="0041263E">
        <w:rPr>
          <w:b/>
        </w:rPr>
        <w:t>:</w:t>
      </w:r>
      <w:r>
        <w:rPr>
          <w:b/>
        </w:rPr>
        <w:t xml:space="preserve"> Further discuss whether or not to support cross-carrier scheduling for sPDCCH</w:t>
      </w:r>
      <w:r w:rsidRPr="0041263E">
        <w:rPr>
          <w:b/>
        </w:rPr>
        <w:t xml:space="preserve">. </w:t>
      </w:r>
    </w:p>
    <w:p w14:paraId="0117461B" w14:textId="032675EF" w:rsidR="00C77113" w:rsidRPr="00526653" w:rsidRDefault="00C77113" w:rsidP="00443F8C">
      <w:pPr>
        <w:jc w:val="both"/>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1A748" w14:textId="77777777" w:rsidR="00A22D36" w:rsidRDefault="00A22D36">
      <w:r>
        <w:separator/>
      </w:r>
    </w:p>
  </w:endnote>
  <w:endnote w:type="continuationSeparator" w:id="0">
    <w:p w14:paraId="2FECC401" w14:textId="77777777" w:rsidR="00A22D36" w:rsidRDefault="00A22D36">
      <w:r>
        <w:continuationSeparator/>
      </w:r>
    </w:p>
  </w:endnote>
  <w:endnote w:type="continuationNotice" w:id="1">
    <w:p w14:paraId="022051D7" w14:textId="77777777" w:rsidR="00A22D36" w:rsidRDefault="00A22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136575BA"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374C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74C6">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6411" w14:textId="77777777" w:rsidR="00A22D36" w:rsidRDefault="00A22D36">
      <w:r>
        <w:separator/>
      </w:r>
    </w:p>
  </w:footnote>
  <w:footnote w:type="continuationSeparator" w:id="0">
    <w:p w14:paraId="2765913F" w14:textId="77777777" w:rsidR="00A22D36" w:rsidRDefault="00A22D36">
      <w:r>
        <w:continuationSeparator/>
      </w:r>
    </w:p>
  </w:footnote>
  <w:footnote w:type="continuationNotice" w:id="1">
    <w:p w14:paraId="56E4BBF6" w14:textId="77777777" w:rsidR="00A22D36" w:rsidRDefault="00A22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E9"/>
    <w:multiLevelType w:val="hybridMultilevel"/>
    <w:tmpl w:val="B41C06FE"/>
    <w:lvl w:ilvl="0" w:tplc="95128048">
      <w:start w:val="1"/>
      <w:numFmt w:val="bullet"/>
      <w:lvlText w:val=""/>
      <w:lvlJc w:val="left"/>
      <w:pPr>
        <w:tabs>
          <w:tab w:val="num" w:pos="720"/>
        </w:tabs>
        <w:ind w:left="720" w:hanging="360"/>
      </w:pPr>
      <w:rPr>
        <w:rFonts w:ascii="Symbol" w:hAnsi="Symbol" w:hint="default"/>
      </w:rPr>
    </w:lvl>
    <w:lvl w:ilvl="1" w:tplc="A8CE5562" w:tentative="1">
      <w:start w:val="1"/>
      <w:numFmt w:val="bullet"/>
      <w:lvlText w:val=""/>
      <w:lvlJc w:val="left"/>
      <w:pPr>
        <w:tabs>
          <w:tab w:val="num" w:pos="1440"/>
        </w:tabs>
        <w:ind w:left="1440" w:hanging="360"/>
      </w:pPr>
      <w:rPr>
        <w:rFonts w:ascii="Symbol" w:hAnsi="Symbol" w:hint="default"/>
      </w:rPr>
    </w:lvl>
    <w:lvl w:ilvl="2" w:tplc="17706B78" w:tentative="1">
      <w:start w:val="1"/>
      <w:numFmt w:val="bullet"/>
      <w:lvlText w:val=""/>
      <w:lvlJc w:val="left"/>
      <w:pPr>
        <w:tabs>
          <w:tab w:val="num" w:pos="2160"/>
        </w:tabs>
        <w:ind w:left="2160" w:hanging="360"/>
      </w:pPr>
      <w:rPr>
        <w:rFonts w:ascii="Symbol" w:hAnsi="Symbol" w:hint="default"/>
      </w:rPr>
    </w:lvl>
    <w:lvl w:ilvl="3" w:tplc="69429A9C" w:tentative="1">
      <w:start w:val="1"/>
      <w:numFmt w:val="bullet"/>
      <w:lvlText w:val=""/>
      <w:lvlJc w:val="left"/>
      <w:pPr>
        <w:tabs>
          <w:tab w:val="num" w:pos="2880"/>
        </w:tabs>
        <w:ind w:left="2880" w:hanging="360"/>
      </w:pPr>
      <w:rPr>
        <w:rFonts w:ascii="Symbol" w:hAnsi="Symbol" w:hint="default"/>
      </w:rPr>
    </w:lvl>
    <w:lvl w:ilvl="4" w:tplc="C5D2C3FA" w:tentative="1">
      <w:start w:val="1"/>
      <w:numFmt w:val="bullet"/>
      <w:lvlText w:val=""/>
      <w:lvlJc w:val="left"/>
      <w:pPr>
        <w:tabs>
          <w:tab w:val="num" w:pos="3600"/>
        </w:tabs>
        <w:ind w:left="3600" w:hanging="360"/>
      </w:pPr>
      <w:rPr>
        <w:rFonts w:ascii="Symbol" w:hAnsi="Symbol" w:hint="default"/>
      </w:rPr>
    </w:lvl>
    <w:lvl w:ilvl="5" w:tplc="FCF6EDFA" w:tentative="1">
      <w:start w:val="1"/>
      <w:numFmt w:val="bullet"/>
      <w:lvlText w:val=""/>
      <w:lvlJc w:val="left"/>
      <w:pPr>
        <w:tabs>
          <w:tab w:val="num" w:pos="4320"/>
        </w:tabs>
        <w:ind w:left="4320" w:hanging="360"/>
      </w:pPr>
      <w:rPr>
        <w:rFonts w:ascii="Symbol" w:hAnsi="Symbol" w:hint="default"/>
      </w:rPr>
    </w:lvl>
    <w:lvl w:ilvl="6" w:tplc="42AE924E" w:tentative="1">
      <w:start w:val="1"/>
      <w:numFmt w:val="bullet"/>
      <w:lvlText w:val=""/>
      <w:lvlJc w:val="left"/>
      <w:pPr>
        <w:tabs>
          <w:tab w:val="num" w:pos="5040"/>
        </w:tabs>
        <w:ind w:left="5040" w:hanging="360"/>
      </w:pPr>
      <w:rPr>
        <w:rFonts w:ascii="Symbol" w:hAnsi="Symbol" w:hint="default"/>
      </w:rPr>
    </w:lvl>
    <w:lvl w:ilvl="7" w:tplc="239A34B2" w:tentative="1">
      <w:start w:val="1"/>
      <w:numFmt w:val="bullet"/>
      <w:lvlText w:val=""/>
      <w:lvlJc w:val="left"/>
      <w:pPr>
        <w:tabs>
          <w:tab w:val="num" w:pos="5760"/>
        </w:tabs>
        <w:ind w:left="5760" w:hanging="360"/>
      </w:pPr>
      <w:rPr>
        <w:rFonts w:ascii="Symbol" w:hAnsi="Symbol" w:hint="default"/>
      </w:rPr>
    </w:lvl>
    <w:lvl w:ilvl="8" w:tplc="DC72899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4F48B5"/>
    <w:multiLevelType w:val="hybridMultilevel"/>
    <w:tmpl w:val="F44A5DE8"/>
    <w:lvl w:ilvl="0" w:tplc="0D7493FE">
      <w:start w:val="1"/>
      <w:numFmt w:val="bullet"/>
      <w:lvlText w:val="−"/>
      <w:lvlJc w:val="left"/>
      <w:pPr>
        <w:tabs>
          <w:tab w:val="num" w:pos="720"/>
        </w:tabs>
        <w:ind w:left="720" w:hanging="360"/>
      </w:pPr>
      <w:rPr>
        <w:rFonts w:ascii="Calibre Regular" w:hAnsi="Calibre Regular" w:hint="default"/>
      </w:rPr>
    </w:lvl>
    <w:lvl w:ilvl="1" w:tplc="09683848">
      <w:start w:val="1"/>
      <w:numFmt w:val="bullet"/>
      <w:lvlText w:val="−"/>
      <w:lvlJc w:val="left"/>
      <w:pPr>
        <w:tabs>
          <w:tab w:val="num" w:pos="1440"/>
        </w:tabs>
        <w:ind w:left="1440" w:hanging="360"/>
      </w:pPr>
      <w:rPr>
        <w:rFonts w:ascii="Calibre Regular" w:hAnsi="Calibre Regular" w:hint="default"/>
      </w:rPr>
    </w:lvl>
    <w:lvl w:ilvl="2" w:tplc="7EBECF78" w:tentative="1">
      <w:start w:val="1"/>
      <w:numFmt w:val="bullet"/>
      <w:lvlText w:val="−"/>
      <w:lvlJc w:val="left"/>
      <w:pPr>
        <w:tabs>
          <w:tab w:val="num" w:pos="2160"/>
        </w:tabs>
        <w:ind w:left="2160" w:hanging="360"/>
      </w:pPr>
      <w:rPr>
        <w:rFonts w:ascii="Calibre Regular" w:hAnsi="Calibre Regular" w:hint="default"/>
      </w:rPr>
    </w:lvl>
    <w:lvl w:ilvl="3" w:tplc="B75CB1A2" w:tentative="1">
      <w:start w:val="1"/>
      <w:numFmt w:val="bullet"/>
      <w:lvlText w:val="−"/>
      <w:lvlJc w:val="left"/>
      <w:pPr>
        <w:tabs>
          <w:tab w:val="num" w:pos="2880"/>
        </w:tabs>
        <w:ind w:left="2880" w:hanging="360"/>
      </w:pPr>
      <w:rPr>
        <w:rFonts w:ascii="Calibre Regular" w:hAnsi="Calibre Regular" w:hint="default"/>
      </w:rPr>
    </w:lvl>
    <w:lvl w:ilvl="4" w:tplc="1F9E5794" w:tentative="1">
      <w:start w:val="1"/>
      <w:numFmt w:val="bullet"/>
      <w:lvlText w:val="−"/>
      <w:lvlJc w:val="left"/>
      <w:pPr>
        <w:tabs>
          <w:tab w:val="num" w:pos="3600"/>
        </w:tabs>
        <w:ind w:left="3600" w:hanging="360"/>
      </w:pPr>
      <w:rPr>
        <w:rFonts w:ascii="Calibre Regular" w:hAnsi="Calibre Regular" w:hint="default"/>
      </w:rPr>
    </w:lvl>
    <w:lvl w:ilvl="5" w:tplc="5C78D1D4" w:tentative="1">
      <w:start w:val="1"/>
      <w:numFmt w:val="bullet"/>
      <w:lvlText w:val="−"/>
      <w:lvlJc w:val="left"/>
      <w:pPr>
        <w:tabs>
          <w:tab w:val="num" w:pos="4320"/>
        </w:tabs>
        <w:ind w:left="4320" w:hanging="360"/>
      </w:pPr>
      <w:rPr>
        <w:rFonts w:ascii="Calibre Regular" w:hAnsi="Calibre Regular" w:hint="default"/>
      </w:rPr>
    </w:lvl>
    <w:lvl w:ilvl="6" w:tplc="4B182FEC" w:tentative="1">
      <w:start w:val="1"/>
      <w:numFmt w:val="bullet"/>
      <w:lvlText w:val="−"/>
      <w:lvlJc w:val="left"/>
      <w:pPr>
        <w:tabs>
          <w:tab w:val="num" w:pos="5040"/>
        </w:tabs>
        <w:ind w:left="5040" w:hanging="360"/>
      </w:pPr>
      <w:rPr>
        <w:rFonts w:ascii="Calibre Regular" w:hAnsi="Calibre Regular" w:hint="default"/>
      </w:rPr>
    </w:lvl>
    <w:lvl w:ilvl="7" w:tplc="F08E1604" w:tentative="1">
      <w:start w:val="1"/>
      <w:numFmt w:val="bullet"/>
      <w:lvlText w:val="−"/>
      <w:lvlJc w:val="left"/>
      <w:pPr>
        <w:tabs>
          <w:tab w:val="num" w:pos="5760"/>
        </w:tabs>
        <w:ind w:left="5760" w:hanging="360"/>
      </w:pPr>
      <w:rPr>
        <w:rFonts w:ascii="Calibre Regular" w:hAnsi="Calibre Regular" w:hint="default"/>
      </w:rPr>
    </w:lvl>
    <w:lvl w:ilvl="8" w:tplc="E294E36E"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A2C60"/>
    <w:multiLevelType w:val="hybridMultilevel"/>
    <w:tmpl w:val="63BEF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F0960"/>
    <w:multiLevelType w:val="hybridMultilevel"/>
    <w:tmpl w:val="ABC41E7A"/>
    <w:lvl w:ilvl="0" w:tplc="B85A0D18">
      <w:start w:val="1"/>
      <w:numFmt w:val="bullet"/>
      <w:lvlText w:val=""/>
      <w:lvlJc w:val="left"/>
      <w:pPr>
        <w:tabs>
          <w:tab w:val="num" w:pos="720"/>
        </w:tabs>
        <w:ind w:left="720" w:hanging="360"/>
      </w:pPr>
      <w:rPr>
        <w:rFonts w:ascii="Symbol" w:hAnsi="Symbol" w:hint="default"/>
      </w:rPr>
    </w:lvl>
    <w:lvl w:ilvl="1" w:tplc="96525518" w:tentative="1">
      <w:start w:val="1"/>
      <w:numFmt w:val="bullet"/>
      <w:lvlText w:val=""/>
      <w:lvlJc w:val="left"/>
      <w:pPr>
        <w:tabs>
          <w:tab w:val="num" w:pos="1440"/>
        </w:tabs>
        <w:ind w:left="1440" w:hanging="360"/>
      </w:pPr>
      <w:rPr>
        <w:rFonts w:ascii="Symbol" w:hAnsi="Symbol" w:hint="default"/>
      </w:rPr>
    </w:lvl>
    <w:lvl w:ilvl="2" w:tplc="EF66BB78" w:tentative="1">
      <w:start w:val="1"/>
      <w:numFmt w:val="bullet"/>
      <w:lvlText w:val=""/>
      <w:lvlJc w:val="left"/>
      <w:pPr>
        <w:tabs>
          <w:tab w:val="num" w:pos="2160"/>
        </w:tabs>
        <w:ind w:left="2160" w:hanging="360"/>
      </w:pPr>
      <w:rPr>
        <w:rFonts w:ascii="Symbol" w:hAnsi="Symbol" w:hint="default"/>
      </w:rPr>
    </w:lvl>
    <w:lvl w:ilvl="3" w:tplc="91609F12" w:tentative="1">
      <w:start w:val="1"/>
      <w:numFmt w:val="bullet"/>
      <w:lvlText w:val=""/>
      <w:lvlJc w:val="left"/>
      <w:pPr>
        <w:tabs>
          <w:tab w:val="num" w:pos="2880"/>
        </w:tabs>
        <w:ind w:left="2880" w:hanging="360"/>
      </w:pPr>
      <w:rPr>
        <w:rFonts w:ascii="Symbol" w:hAnsi="Symbol" w:hint="default"/>
      </w:rPr>
    </w:lvl>
    <w:lvl w:ilvl="4" w:tplc="24B6A472" w:tentative="1">
      <w:start w:val="1"/>
      <w:numFmt w:val="bullet"/>
      <w:lvlText w:val=""/>
      <w:lvlJc w:val="left"/>
      <w:pPr>
        <w:tabs>
          <w:tab w:val="num" w:pos="3600"/>
        </w:tabs>
        <w:ind w:left="3600" w:hanging="360"/>
      </w:pPr>
      <w:rPr>
        <w:rFonts w:ascii="Symbol" w:hAnsi="Symbol" w:hint="default"/>
      </w:rPr>
    </w:lvl>
    <w:lvl w:ilvl="5" w:tplc="38625B60" w:tentative="1">
      <w:start w:val="1"/>
      <w:numFmt w:val="bullet"/>
      <w:lvlText w:val=""/>
      <w:lvlJc w:val="left"/>
      <w:pPr>
        <w:tabs>
          <w:tab w:val="num" w:pos="4320"/>
        </w:tabs>
        <w:ind w:left="4320" w:hanging="360"/>
      </w:pPr>
      <w:rPr>
        <w:rFonts w:ascii="Symbol" w:hAnsi="Symbol" w:hint="default"/>
      </w:rPr>
    </w:lvl>
    <w:lvl w:ilvl="6" w:tplc="07C433B2" w:tentative="1">
      <w:start w:val="1"/>
      <w:numFmt w:val="bullet"/>
      <w:lvlText w:val=""/>
      <w:lvlJc w:val="left"/>
      <w:pPr>
        <w:tabs>
          <w:tab w:val="num" w:pos="5040"/>
        </w:tabs>
        <w:ind w:left="5040" w:hanging="360"/>
      </w:pPr>
      <w:rPr>
        <w:rFonts w:ascii="Symbol" w:hAnsi="Symbol" w:hint="default"/>
      </w:rPr>
    </w:lvl>
    <w:lvl w:ilvl="7" w:tplc="B6542B74" w:tentative="1">
      <w:start w:val="1"/>
      <w:numFmt w:val="bullet"/>
      <w:lvlText w:val=""/>
      <w:lvlJc w:val="left"/>
      <w:pPr>
        <w:tabs>
          <w:tab w:val="num" w:pos="5760"/>
        </w:tabs>
        <w:ind w:left="5760" w:hanging="360"/>
      </w:pPr>
      <w:rPr>
        <w:rFonts w:ascii="Symbol" w:hAnsi="Symbol" w:hint="default"/>
      </w:rPr>
    </w:lvl>
    <w:lvl w:ilvl="8" w:tplc="55F2824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9"/>
  </w:num>
  <w:num w:numId="4">
    <w:abstractNumId w:val="4"/>
  </w:num>
  <w:num w:numId="5">
    <w:abstractNumId w:val="12"/>
  </w:num>
  <w:num w:numId="6">
    <w:abstractNumId w:val="30"/>
  </w:num>
  <w:num w:numId="7">
    <w:abstractNumId w:val="16"/>
  </w:num>
  <w:num w:numId="8">
    <w:abstractNumId w:val="17"/>
  </w:num>
  <w:num w:numId="9">
    <w:abstractNumId w:val="15"/>
  </w:num>
  <w:num w:numId="10">
    <w:abstractNumId w:val="27"/>
  </w:num>
  <w:num w:numId="11">
    <w:abstractNumId w:val="6"/>
  </w:num>
  <w:num w:numId="12">
    <w:abstractNumId w:val="13"/>
  </w:num>
  <w:num w:numId="13">
    <w:abstractNumId w:val="7"/>
  </w:num>
  <w:num w:numId="14">
    <w:abstractNumId w:val="9"/>
  </w:num>
  <w:num w:numId="15">
    <w:abstractNumId w:val="22"/>
  </w:num>
  <w:num w:numId="16">
    <w:abstractNumId w:val="25"/>
  </w:num>
  <w:num w:numId="17">
    <w:abstractNumId w:val="11"/>
  </w:num>
  <w:num w:numId="18">
    <w:abstractNumId w:val="31"/>
  </w:num>
  <w:num w:numId="19">
    <w:abstractNumId w:val="24"/>
  </w:num>
  <w:num w:numId="20">
    <w:abstractNumId w:val="26"/>
  </w:num>
  <w:num w:numId="21">
    <w:abstractNumId w:val="10"/>
  </w:num>
  <w:num w:numId="22">
    <w:abstractNumId w:val="29"/>
  </w:num>
  <w:num w:numId="23">
    <w:abstractNumId w:val="28"/>
  </w:num>
  <w:num w:numId="24">
    <w:abstractNumId w:val="18"/>
  </w:num>
  <w:num w:numId="25">
    <w:abstractNumId w:val="2"/>
  </w:num>
  <w:num w:numId="26">
    <w:abstractNumId w:val="20"/>
  </w:num>
  <w:num w:numId="27">
    <w:abstractNumId w:val="23"/>
  </w:num>
  <w:num w:numId="28">
    <w:abstractNumId w:val="1"/>
  </w:num>
  <w:num w:numId="29">
    <w:abstractNumId w:val="8"/>
  </w:num>
  <w:num w:numId="30">
    <w:abstractNumId w:val="21"/>
  </w:num>
  <w:num w:numId="31">
    <w:abstractNumId w:val="0"/>
  </w:num>
  <w:num w:numId="32">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363"/>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593D"/>
    <w:rsid w:val="000A6466"/>
    <w:rsid w:val="000A6788"/>
    <w:rsid w:val="000A6CFE"/>
    <w:rsid w:val="000B1B68"/>
    <w:rsid w:val="000B1CD3"/>
    <w:rsid w:val="000B1FBE"/>
    <w:rsid w:val="000B23E2"/>
    <w:rsid w:val="000B245F"/>
    <w:rsid w:val="000B247A"/>
    <w:rsid w:val="000B256B"/>
    <w:rsid w:val="000B39D1"/>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98D"/>
    <w:rsid w:val="000F1CF3"/>
    <w:rsid w:val="000F257D"/>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5D2"/>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596"/>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1F2C"/>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A599A"/>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74C6"/>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8F6"/>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63E"/>
    <w:rsid w:val="004127B4"/>
    <w:rsid w:val="00412A92"/>
    <w:rsid w:val="004135B1"/>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3F8C"/>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E61"/>
    <w:rsid w:val="004641FE"/>
    <w:rsid w:val="0046434B"/>
    <w:rsid w:val="004649CD"/>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156"/>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4ABF"/>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8A6"/>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4D1E"/>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1C50"/>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0CE4"/>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562"/>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354"/>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16A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701"/>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5ECE"/>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790"/>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2D36"/>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494"/>
    <w:rsid w:val="00AF3C8C"/>
    <w:rsid w:val="00AF3F9D"/>
    <w:rsid w:val="00AF4542"/>
    <w:rsid w:val="00AF457C"/>
    <w:rsid w:val="00AF461C"/>
    <w:rsid w:val="00AF5363"/>
    <w:rsid w:val="00AF5494"/>
    <w:rsid w:val="00AF5CB8"/>
    <w:rsid w:val="00AF5F78"/>
    <w:rsid w:val="00AF66F1"/>
    <w:rsid w:val="00B000D8"/>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27A37"/>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AE0"/>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76A"/>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4EA5"/>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4AE1"/>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38D8"/>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5A7B"/>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30175614">
      <w:bodyDiv w:val="1"/>
      <w:marLeft w:val="0"/>
      <w:marRight w:val="0"/>
      <w:marTop w:val="0"/>
      <w:marBottom w:val="0"/>
      <w:divBdr>
        <w:top w:val="none" w:sz="0" w:space="0" w:color="auto"/>
        <w:left w:val="none" w:sz="0" w:space="0" w:color="auto"/>
        <w:bottom w:val="none" w:sz="0" w:space="0" w:color="auto"/>
        <w:right w:val="none" w:sz="0" w:space="0" w:color="auto"/>
      </w:divBdr>
      <w:divsChild>
        <w:div w:id="369188927">
          <w:marLeft w:val="547"/>
          <w:marRight w:val="0"/>
          <w:marTop w:val="96"/>
          <w:marBottom w:val="0"/>
          <w:divBdr>
            <w:top w:val="none" w:sz="0" w:space="0" w:color="auto"/>
            <w:left w:val="none" w:sz="0" w:space="0" w:color="auto"/>
            <w:bottom w:val="none" w:sz="0" w:space="0" w:color="auto"/>
            <w:right w:val="none" w:sz="0" w:space="0" w:color="auto"/>
          </w:divBdr>
        </w:div>
        <w:div w:id="1249922130">
          <w:marLeft w:val="547"/>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0491337">
      <w:bodyDiv w:val="1"/>
      <w:marLeft w:val="0"/>
      <w:marRight w:val="0"/>
      <w:marTop w:val="0"/>
      <w:marBottom w:val="0"/>
      <w:divBdr>
        <w:top w:val="none" w:sz="0" w:space="0" w:color="auto"/>
        <w:left w:val="none" w:sz="0" w:space="0" w:color="auto"/>
        <w:bottom w:val="none" w:sz="0" w:space="0" w:color="auto"/>
        <w:right w:val="none" w:sz="0" w:space="0" w:color="auto"/>
      </w:divBdr>
      <w:divsChild>
        <w:div w:id="1256590253">
          <w:marLeft w:val="1166"/>
          <w:marRight w:val="0"/>
          <w:marTop w:val="82"/>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BEB7A29B-58BD-45B6-919F-9B06189BE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2</cp:revision>
  <cp:lastPrinted>2010-10-04T23:31:00Z</cp:lastPrinted>
  <dcterms:created xsi:type="dcterms:W3CDTF">2017-08-11T21:39:00Z</dcterms:created>
  <dcterms:modified xsi:type="dcterms:W3CDTF">2017-08-11T21:39:00Z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